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199,49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1 017,92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614,35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1 285,66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337,49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938,03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